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4   </w:t>
      </w:r>
    </w:p>
    <w:p>
      <w:pPr>
        <w:ind w:right="14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辅导员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、班主任素质能力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大赛</w:t>
      </w:r>
    </w:p>
    <w:p>
      <w:pPr>
        <w:ind w:right="14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团体赛评分细则</w:t>
      </w:r>
    </w:p>
    <w:tbl>
      <w:tblPr>
        <w:tblStyle w:val="2"/>
        <w:tblpPr w:leftFromText="180" w:rightFromText="180" w:vertAnchor="text" w:horzAnchor="page" w:tblpXSpec="center" w:tblpY="430"/>
        <w:tblOverlap w:val="never"/>
        <w:tblW w:w="100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478"/>
        <w:gridCol w:w="3624"/>
        <w:gridCol w:w="846"/>
        <w:gridCol w:w="1010"/>
        <w:gridCol w:w="16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占总成绩比例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1、思想政治教育活动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2、防诈骗教育工作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3、大学生消防安全教育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4、四早两晚两反对工作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5、资助育人工作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6、思政宣传工作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7、选树优秀学生典型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8、心理测评、访谈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9、医疗关注处置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10、心理危机排查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11、宿舍网格化工作制度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12、青年大学习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13、共青团组织工作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14、共青团宣传工作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15、团总支工作标准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16、创新创业工作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17、社会志愿服务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18、五四评优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19、辅导员、班主任、学生干部队伍建设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20、校园文明创建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赛务组织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领导重视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、有无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对此项工作专题</w:t>
            </w:r>
            <w:r>
              <w:rPr>
                <w:rFonts w:ascii="宋体" w:hAnsi="宋体" w:cs="宋体"/>
                <w:color w:val="000000"/>
                <w:szCs w:val="21"/>
              </w:rPr>
              <w:t>布置；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2、有无比赛方案；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二、组织有序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1、是否全员参赛；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2、评委组成是否符合要求；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3、比赛现场秩序情况；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4、学生观众是否到位；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、是否按规定比赛环节进行比赛；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三、比赛质量（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1、是否体现出辅导员班主任的工作水平；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2、辅导员班主任的精神面貌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3、比赛时间时长控制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个人成绩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一、班主任个人赛成绩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1、笔试环节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100（占20%）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2、实地测评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100（占30%）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3、现场展示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100（占50%）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二、辅导员个人赛成绩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1、笔试环节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100（占20%）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2、实地测评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100（占30%）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3、现场展示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100（占50%）</w:t>
            </w: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54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8AED5"/>
    <w:multiLevelType w:val="singleLevel"/>
    <w:tmpl w:val="7128AE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7A9A4DFD"/>
    <w:rsid w:val="7A9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2024-04-12T07:55:00Z</dcterms:created>
  <dc:creator>SsssNnnn</dc:creator>
  <cp:lastModifiedBy>SsssNnnn</cp:lastModifiedBy>
  <dcterms:modified xsi:type="dcterms:W3CDTF">2024-04-12T07:55:29Z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A3C677470F974EAB8C4BAED8E9806F9B_11</vt:lpwstr>
  </property>
</Properties>
</file>