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附件一：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  <w:t>《大学生心理健康》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096" w:firstLineChars="17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——详细类目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096" w:firstLineChars="17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1.大学生心理健康基础知识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2.自我认识与自尊自信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3.情绪与压力管理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4.人际交往与沟通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5.学习与学业发展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6.生涯发展与职业规划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7.精神障碍与危机管理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8.大学生恋爱与亲密关系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9.与大学生心理健康相关的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或大学生喜闻乐见的</w:t>
      </w:r>
      <w:r>
        <w:rPr>
          <w:rFonts w:hint="eastAsia" w:ascii="仿宋" w:hAnsi="仿宋" w:eastAsia="仿宋" w:cs="仿宋"/>
          <w:sz w:val="28"/>
          <w:szCs w:val="28"/>
        </w:rPr>
        <w:t>其他内容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DdjYjY4NjU1YTBkZmE4OWQzZTk5NDFjOTczODIifQ=="/>
  </w:docVars>
  <w:rsids>
    <w:rsidRoot w:val="4E755EA6"/>
    <w:rsid w:val="4E7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2024-03-06T01:27:00Z</dcterms:created>
  <dc:creator>SsssNnnn</dc:creator>
  <cp:lastModifiedBy>SsssNnnn</cp:lastModifiedBy>
  <dcterms:modified xsi:type="dcterms:W3CDTF">2024-03-06T01:27:57Z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420764E5206C4293A2F82CC91232DCF3_11</vt:lpwstr>
  </property>
</Properties>
</file>