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9F" w:rsidRPr="00B6132B" w:rsidRDefault="0068059F" w:rsidP="0068059F">
      <w:pPr>
        <w:rPr>
          <w:sz w:val="24"/>
          <w:szCs w:val="24"/>
        </w:rPr>
      </w:pPr>
      <w:r w:rsidRPr="00B6132B">
        <w:rPr>
          <w:rFonts w:hint="eastAsia"/>
          <w:sz w:val="24"/>
          <w:szCs w:val="24"/>
        </w:rPr>
        <w:t>附件</w:t>
      </w:r>
      <w:r w:rsidRPr="00B6132B">
        <w:rPr>
          <w:rFonts w:hint="eastAsia"/>
          <w:sz w:val="24"/>
          <w:szCs w:val="24"/>
        </w:rPr>
        <w:t>1</w:t>
      </w:r>
      <w:r w:rsidRPr="00B6132B">
        <w:rPr>
          <w:rFonts w:hint="eastAsia"/>
          <w:sz w:val="24"/>
          <w:szCs w:val="24"/>
        </w:rPr>
        <w:t>：</w:t>
      </w:r>
    </w:p>
    <w:p w:rsidR="0068059F" w:rsidRPr="00A779CC" w:rsidRDefault="0068059F" w:rsidP="0068059F">
      <w:pPr>
        <w:wordWrap w:val="0"/>
        <w:spacing w:line="360" w:lineRule="auto"/>
        <w:ind w:firstLine="480"/>
        <w:jc w:val="center"/>
        <w:rPr>
          <w:rFonts w:ascii="宋体" w:hAnsi="宋体"/>
          <w:b/>
          <w:sz w:val="30"/>
          <w:szCs w:val="30"/>
        </w:rPr>
      </w:pPr>
      <w:r w:rsidRPr="00A779CC">
        <w:rPr>
          <w:rFonts w:ascii="宋体" w:hAnsi="宋体"/>
          <w:b/>
          <w:sz w:val="30"/>
          <w:szCs w:val="30"/>
        </w:rPr>
        <w:t>武汉工程</w:t>
      </w:r>
      <w:proofErr w:type="gramStart"/>
      <w:r w:rsidRPr="00A779CC">
        <w:rPr>
          <w:rFonts w:ascii="宋体" w:hAnsi="宋体"/>
          <w:b/>
          <w:sz w:val="30"/>
          <w:szCs w:val="30"/>
        </w:rPr>
        <w:t>大学邮电</w:t>
      </w:r>
      <w:proofErr w:type="gramEnd"/>
      <w:r w:rsidRPr="00A779CC">
        <w:rPr>
          <w:rFonts w:ascii="宋体" w:hAnsi="宋体"/>
          <w:b/>
          <w:sz w:val="30"/>
          <w:szCs w:val="30"/>
        </w:rPr>
        <w:t>与信息工程学院</w:t>
      </w:r>
    </w:p>
    <w:p w:rsidR="0068059F" w:rsidRPr="00A779CC" w:rsidRDefault="0068059F" w:rsidP="0068059F">
      <w:pPr>
        <w:wordWrap w:val="0"/>
        <w:spacing w:line="360" w:lineRule="auto"/>
        <w:ind w:firstLine="480"/>
        <w:jc w:val="center"/>
        <w:rPr>
          <w:rFonts w:ascii="宋体" w:hAnsi="宋体"/>
          <w:b/>
          <w:sz w:val="30"/>
          <w:szCs w:val="30"/>
        </w:rPr>
      </w:pPr>
      <w:r w:rsidRPr="00A779CC">
        <w:rPr>
          <w:rFonts w:ascii="宋体" w:hAnsi="宋体"/>
          <w:b/>
          <w:sz w:val="30"/>
          <w:szCs w:val="30"/>
        </w:rPr>
        <w:t>心理辅导站工作考核指标体系</w:t>
      </w:r>
    </w:p>
    <w:p w:rsidR="0068059F" w:rsidRDefault="0068059F" w:rsidP="0068059F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5462"/>
        <w:gridCol w:w="1662"/>
        <w:gridCol w:w="1144"/>
      </w:tblGrid>
      <w:tr w:rsidR="0068059F" w:rsidTr="00C539E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Pr="00A779CC" w:rsidRDefault="0068059F" w:rsidP="00C539EF">
            <w:pPr>
              <w:spacing w:line="500" w:lineRule="exact"/>
              <w:ind w:firstLine="118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779CC">
              <w:rPr>
                <w:rFonts w:ascii="黑体" w:eastAsia="黑体" w:hAnsi="黑体"/>
                <w:b/>
                <w:sz w:val="24"/>
                <w:szCs w:val="24"/>
              </w:rPr>
              <w:t>项目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Pr="00A779CC" w:rsidRDefault="0068059F" w:rsidP="00C539EF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779CC">
              <w:rPr>
                <w:rFonts w:ascii="黑体" w:eastAsia="黑体" w:hAnsi="黑体"/>
                <w:b/>
                <w:sz w:val="24"/>
                <w:szCs w:val="24"/>
              </w:rPr>
              <w:t>心理辅导站评定标准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Pr="00A779CC" w:rsidRDefault="0068059F" w:rsidP="00C539EF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779CC">
              <w:rPr>
                <w:rFonts w:ascii="黑体" w:eastAsia="黑体" w:hAnsi="黑体"/>
                <w:b/>
                <w:sz w:val="24"/>
                <w:szCs w:val="24"/>
              </w:rPr>
              <w:t>比重</w:t>
            </w:r>
          </w:p>
          <w:p w:rsidR="0068059F" w:rsidRPr="00A779CC" w:rsidRDefault="0068059F" w:rsidP="00C539EF">
            <w:pPr>
              <w:spacing w:line="500" w:lineRule="exact"/>
              <w:ind w:left="457" w:hanging="457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779CC">
              <w:rPr>
                <w:rFonts w:ascii="黑体" w:eastAsia="黑体" w:hAnsi="黑体"/>
                <w:b/>
                <w:spacing w:val="-4"/>
                <w:sz w:val="24"/>
                <w:szCs w:val="24"/>
              </w:rPr>
              <w:t>(满分100分)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Pr="00A779CC" w:rsidRDefault="0068059F" w:rsidP="00C539EF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779CC">
              <w:rPr>
                <w:rFonts w:ascii="黑体" w:eastAsia="黑体" w:hAnsi="黑体"/>
                <w:b/>
                <w:sz w:val="24"/>
                <w:szCs w:val="24"/>
              </w:rPr>
              <w:t>评分</w:t>
            </w:r>
          </w:p>
        </w:tc>
      </w:tr>
      <w:tr w:rsidR="0068059F" w:rsidTr="00C539EF">
        <w:trPr>
          <w:trHeight w:val="90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组织机构</w:t>
            </w:r>
            <w:proofErr w:type="gramStart"/>
            <w:r>
              <w:rPr>
                <w:rFonts w:ascii="仿宋_GB2312" w:eastAsia="仿宋_GB2312" w:hAnsi="仿宋_GB2312"/>
                <w:sz w:val="24"/>
                <w:szCs w:val="24"/>
              </w:rPr>
              <w:t>和</w:t>
            </w:r>
            <w:proofErr w:type="gramEnd"/>
          </w:p>
          <w:p w:rsidR="0068059F" w:rsidRDefault="0068059F" w:rsidP="00C539EF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队伍建设</w:t>
            </w:r>
          </w:p>
          <w:p w:rsidR="0068059F" w:rsidRDefault="0068059F" w:rsidP="00C539EF">
            <w:pPr>
              <w:spacing w:line="500" w:lineRule="exact"/>
              <w:ind w:first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771ACC">
            <w:pPr>
              <w:spacing w:line="4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１、成立</w:t>
            </w:r>
            <w:proofErr w:type="gramStart"/>
            <w:r>
              <w:rPr>
                <w:rFonts w:ascii="仿宋_GB2312" w:eastAsia="仿宋_GB2312" w:hAnsi="仿宋_GB2312"/>
                <w:sz w:val="24"/>
                <w:szCs w:val="24"/>
              </w:rPr>
              <w:t>有系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部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领导</w:t>
            </w:r>
            <w:proofErr w:type="gramEnd"/>
            <w:r>
              <w:rPr>
                <w:rFonts w:ascii="仿宋_GB2312" w:eastAsia="仿宋_GB2312" w:hAnsi="仿宋_GB2312"/>
                <w:sz w:val="24"/>
                <w:szCs w:val="24"/>
              </w:rPr>
              <w:t>任组长的心理健康教育小组并有活动记录。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>
            <w:pPr>
              <w:spacing w:line="50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68059F" w:rsidTr="00C539EF">
        <w:trPr>
          <w:trHeight w:val="90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/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771ACC">
            <w:pPr>
              <w:spacing w:line="4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２、有具有良好心理素质，持有心理咨询师资格证的教师</w:t>
            </w:r>
            <w:proofErr w:type="gramStart"/>
            <w:r>
              <w:rPr>
                <w:rFonts w:ascii="仿宋_GB2312" w:eastAsia="仿宋_GB2312" w:hAnsi="仿宋_GB2312"/>
                <w:sz w:val="24"/>
                <w:szCs w:val="24"/>
              </w:rPr>
              <w:t>担任系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部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二级</w:t>
            </w:r>
            <w:proofErr w:type="gramEnd"/>
            <w:r>
              <w:rPr>
                <w:rFonts w:ascii="仿宋_GB2312" w:eastAsia="仿宋_GB2312" w:hAnsi="仿宋_GB2312"/>
                <w:sz w:val="24"/>
                <w:szCs w:val="24"/>
              </w:rPr>
              <w:t>心理辅导站站长。组织</w:t>
            </w:r>
            <w:proofErr w:type="gramStart"/>
            <w:r>
              <w:rPr>
                <w:rFonts w:ascii="仿宋_GB2312" w:eastAsia="仿宋_GB2312" w:hAnsi="仿宋_GB2312"/>
                <w:sz w:val="24"/>
                <w:szCs w:val="24"/>
              </w:rPr>
              <w:t>制定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系部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心理</w:t>
            </w:r>
            <w:proofErr w:type="gramEnd"/>
            <w:r>
              <w:rPr>
                <w:rFonts w:ascii="仿宋_GB2312" w:eastAsia="仿宋_GB2312" w:hAnsi="仿宋_GB2312"/>
                <w:sz w:val="24"/>
                <w:szCs w:val="24"/>
              </w:rPr>
              <w:t>危机干预预案。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/>
        </w:tc>
      </w:tr>
      <w:tr w:rsidR="0068059F" w:rsidTr="00C539EF">
        <w:trPr>
          <w:trHeight w:val="90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/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771ACC">
            <w:pPr>
              <w:spacing w:line="4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３、</w:t>
            </w:r>
            <w:proofErr w:type="gramStart"/>
            <w:r w:rsidRPr="00051019">
              <w:rPr>
                <w:rFonts w:ascii="仿宋_GB2312" w:eastAsia="仿宋_GB2312" w:hAnsi="仿宋_GB2312" w:hint="eastAsia"/>
                <w:sz w:val="24"/>
                <w:szCs w:val="24"/>
              </w:rPr>
              <w:t>系部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设置</w:t>
            </w:r>
            <w:proofErr w:type="gramEnd"/>
            <w:r>
              <w:rPr>
                <w:rFonts w:ascii="仿宋_GB2312" w:eastAsia="仿宋_GB2312" w:hAnsi="仿宋_GB2312"/>
                <w:sz w:val="24"/>
                <w:szCs w:val="24"/>
              </w:rPr>
              <w:t>了心理委员会，各班级设有心理委员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每年度至少组织针对心理委员的相关培训活动不少于1次。</w:t>
            </w:r>
            <w:r w:rsidRPr="00E47DBD">
              <w:rPr>
                <w:rFonts w:ascii="仿宋_GB2312" w:eastAsia="仿宋_GB2312" w:hAnsi="仿宋_GB2312" w:hint="eastAsia"/>
                <w:sz w:val="24"/>
                <w:szCs w:val="24"/>
              </w:rPr>
              <w:t>每多开展一次加1分（最高不超过5分）。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/>
        </w:tc>
      </w:tr>
      <w:tr w:rsidR="0068059F" w:rsidTr="00C539EF">
        <w:trPr>
          <w:trHeight w:val="90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/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>
            <w:pPr>
              <w:spacing w:line="4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4、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心理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辅导站有名称，有制度，有工作计划和总结，有专门接待学生的谈心谈话记录。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/>
        </w:tc>
      </w:tr>
      <w:tr w:rsidR="0068059F" w:rsidTr="00C539EF">
        <w:trPr>
          <w:trHeight w:val="92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工作情况</w:t>
            </w:r>
          </w:p>
          <w:p w:rsidR="0068059F" w:rsidRDefault="0068059F" w:rsidP="00C539EF">
            <w:pPr>
              <w:spacing w:line="500" w:lineRule="exact"/>
              <w:ind w:first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>
            <w:pPr>
              <w:spacing w:line="4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1、每学期至少开展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两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次心理健康教育宣传活动，包括宣传日（周或月），专题讲座，新生适应性教育，团体辅导等。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>
            <w:pPr>
              <w:spacing w:line="50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68059F" w:rsidTr="00C539EF">
        <w:trPr>
          <w:trHeight w:val="1395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/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771ACC">
            <w:pPr>
              <w:spacing w:line="4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2、积极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</w:rPr>
              <w:t>举办</w:t>
            </w:r>
            <w:r w:rsidRPr="009639AA">
              <w:rPr>
                <w:rFonts w:ascii="仿宋_GB2312" w:eastAsia="仿宋_GB2312" w:hAnsi="仿宋_GB2312" w:hint="eastAsia"/>
                <w:sz w:val="24"/>
                <w:szCs w:val="24"/>
              </w:rPr>
              <w:t>系部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心理健康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24"/>
              </w:rPr>
              <w:t>月系列活动，努力扩大影响面，切实做好心理健康月活动，加大宣传教育力度。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Pr="00752982" w:rsidRDefault="0068059F" w:rsidP="00C539EF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/>
        </w:tc>
      </w:tr>
      <w:tr w:rsidR="0068059F" w:rsidTr="00C539EF">
        <w:trPr>
          <w:trHeight w:val="1395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/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>
            <w:pPr>
              <w:spacing w:line="4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、对开展的活动，有方案，有登记，有报道（2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分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）。（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加分项，最高加至6分，其中</w:t>
            </w:r>
            <w:bookmarkStart w:id="0" w:name="_GoBack"/>
            <w:bookmarkEnd w:id="0"/>
            <w:r>
              <w:rPr>
                <w:rFonts w:ascii="仿宋_GB2312" w:eastAsia="仿宋_GB2312" w:hAnsi="仿宋_GB2312" w:hint="eastAsia"/>
                <w:sz w:val="24"/>
                <w:szCs w:val="24"/>
              </w:rPr>
              <w:t>省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市级及以上宣传报道5分，学校报道3分，学工处报道2分）。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/>
        </w:tc>
      </w:tr>
      <w:tr w:rsidR="0068059F" w:rsidTr="00C539EF">
        <w:trPr>
          <w:trHeight w:val="917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/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>
            <w:pPr>
              <w:spacing w:line="4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、以有效方式向学生公布大学生心理健康教育中心的地址、电话、职能等服务信息。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/>
        </w:tc>
      </w:tr>
      <w:tr w:rsidR="0068059F" w:rsidTr="00C539EF">
        <w:trPr>
          <w:trHeight w:val="917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/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771ACC">
            <w:pPr>
              <w:spacing w:line="4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、按要求完成新生心理普查工作，普查率100%（2分），新生普查</w:t>
            </w:r>
            <w:proofErr w:type="gramStart"/>
            <w:r>
              <w:rPr>
                <w:rFonts w:ascii="仿宋_GB2312" w:eastAsia="仿宋_GB2312" w:hAnsi="仿宋_GB2312"/>
                <w:sz w:val="24"/>
                <w:szCs w:val="24"/>
              </w:rPr>
              <w:t>之后</w:t>
            </w:r>
            <w:r w:rsidRPr="009639AA">
              <w:rPr>
                <w:rFonts w:ascii="仿宋_GB2312" w:eastAsia="仿宋_GB2312" w:hAnsi="仿宋_GB2312" w:hint="eastAsia"/>
                <w:sz w:val="24"/>
                <w:szCs w:val="24"/>
              </w:rPr>
              <w:t>系部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辅导员</w:t>
            </w:r>
            <w:proofErr w:type="gramEnd"/>
            <w:r>
              <w:rPr>
                <w:rFonts w:ascii="仿宋_GB2312" w:eastAsia="仿宋_GB2312" w:hAnsi="仿宋_GB2312"/>
                <w:sz w:val="24"/>
                <w:szCs w:val="24"/>
              </w:rPr>
              <w:t>或班主任对筛查出心理异常的学生进行初步访谈，辅导员应保存谈话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lastRenderedPageBreak/>
              <w:t>记录（2分），并按时上报给校心理健康教育中心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准时、规范完成（4分）、准时完成（2分）、延时（0分）。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/>
        </w:tc>
      </w:tr>
      <w:tr w:rsidR="0068059F" w:rsidTr="00C539EF">
        <w:trPr>
          <w:trHeight w:val="416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/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>
            <w:pPr>
              <w:spacing w:line="4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、负责接待、关怀、帮助有心理困惑的同学，对一般性心理问题定期给予辅导，并组织班级心理健康教育专题座谈会。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/>
        </w:tc>
      </w:tr>
      <w:tr w:rsidR="0068059F" w:rsidTr="00C539EF">
        <w:trPr>
          <w:trHeight w:val="917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/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>
            <w:pPr>
              <w:spacing w:line="4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根据各重要结点，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定期对班级学生进行隐性心理危机筛查，并向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大学生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心理健康教育中心上交汇报表，准时、规范上报（6分），准时、未规范上报（4分），延时或学生代报（0分）。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/>
        </w:tc>
      </w:tr>
      <w:tr w:rsidR="0068059F" w:rsidTr="00C539EF">
        <w:trPr>
          <w:trHeight w:val="75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/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>
            <w:pPr>
              <w:spacing w:line="4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、对有严重心理问题的学生进行有效干预，并做好定期访谈和后期跟踪工作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（4分），登录心理健康教育信息管理网（2分），记录在案，进行精准帮扶（2分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）。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/>
        </w:tc>
      </w:tr>
      <w:tr w:rsidR="0068059F" w:rsidTr="00C539EF">
        <w:trPr>
          <w:trHeight w:val="75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/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>
            <w:pPr>
              <w:spacing w:line="4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、关注贫困生、</w:t>
            </w:r>
            <w:proofErr w:type="gramStart"/>
            <w:r>
              <w:rPr>
                <w:rFonts w:ascii="仿宋_GB2312" w:eastAsia="仿宋_GB2312" w:hAnsi="仿宋_GB2312"/>
                <w:sz w:val="24"/>
                <w:szCs w:val="24"/>
              </w:rPr>
              <w:t>学困生</w:t>
            </w:r>
            <w:proofErr w:type="gramEnd"/>
            <w:r>
              <w:rPr>
                <w:rFonts w:ascii="仿宋_GB2312" w:eastAsia="仿宋_GB2312" w:hAnsi="仿宋_GB2312"/>
                <w:sz w:val="24"/>
                <w:szCs w:val="24"/>
              </w:rPr>
              <w:t>、毕业生等特殊群体的心理健康教育工作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/>
        </w:tc>
      </w:tr>
      <w:tr w:rsidR="0068059F" w:rsidTr="00C539EF">
        <w:trPr>
          <w:trHeight w:val="75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/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>
            <w:pPr>
              <w:spacing w:line="4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10、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对有较严重心理障碍的学生及时联系家长并与学校相关部门联系，同时做好向精神卫生机构转介的工作。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/>
        </w:tc>
      </w:tr>
      <w:tr w:rsidR="0068059F" w:rsidTr="00C539EF">
        <w:trPr>
          <w:trHeight w:val="75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工作成效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771ACC">
            <w:pPr>
              <w:spacing w:line="4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1、组织的活动与心理健康教育密切相关，</w:t>
            </w:r>
            <w:proofErr w:type="gramStart"/>
            <w:r w:rsidRPr="009639AA">
              <w:rPr>
                <w:rFonts w:ascii="仿宋_GB2312" w:eastAsia="仿宋_GB2312" w:hAnsi="仿宋_GB2312" w:hint="eastAsia"/>
                <w:sz w:val="24"/>
                <w:szCs w:val="24"/>
              </w:rPr>
              <w:t>系部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心理健康</w:t>
            </w:r>
            <w:proofErr w:type="gramEnd"/>
            <w:r>
              <w:rPr>
                <w:rFonts w:ascii="仿宋_GB2312" w:eastAsia="仿宋_GB2312" w:hAnsi="仿宋_GB2312"/>
                <w:sz w:val="24"/>
                <w:szCs w:val="24"/>
              </w:rPr>
              <w:t>活动每年不少于2次。每多开展一次加1分（最高不超过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分）。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>
            <w:pPr>
              <w:spacing w:line="50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68059F" w:rsidTr="00C539EF">
        <w:trPr>
          <w:trHeight w:val="75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/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>
            <w:pPr>
              <w:spacing w:line="4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2、获得学院心理相关活动集体奖项，根据以下规则加分：学院一等奖6分，二等奖3分，三等奖2分，优秀奖1分。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Pr="00FB1086" w:rsidRDefault="0068059F" w:rsidP="00C539EF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/>
        </w:tc>
      </w:tr>
      <w:tr w:rsidR="0068059F" w:rsidTr="00C539EF">
        <w:trPr>
          <w:trHeight w:val="75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/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771ACC">
            <w:pPr>
              <w:spacing w:line="4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2、随机抽取学生</w:t>
            </w:r>
            <w:proofErr w:type="gramStart"/>
            <w:r>
              <w:rPr>
                <w:rFonts w:ascii="仿宋_GB2312" w:eastAsia="仿宋_GB2312" w:hAnsi="仿宋_GB2312"/>
                <w:sz w:val="24"/>
                <w:szCs w:val="24"/>
              </w:rPr>
              <w:t>对</w:t>
            </w:r>
            <w:r w:rsidRPr="009639AA">
              <w:rPr>
                <w:rFonts w:ascii="仿宋_GB2312" w:eastAsia="仿宋_GB2312" w:hAnsi="仿宋_GB2312" w:hint="eastAsia"/>
                <w:sz w:val="24"/>
                <w:szCs w:val="24"/>
              </w:rPr>
              <w:t>系部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二级</w:t>
            </w:r>
            <w:proofErr w:type="gramEnd"/>
            <w:r>
              <w:rPr>
                <w:rFonts w:ascii="仿宋_GB2312" w:eastAsia="仿宋_GB2312" w:hAnsi="仿宋_GB2312"/>
                <w:sz w:val="24"/>
                <w:szCs w:val="24"/>
              </w:rPr>
              <w:t>心理辅导站的工作满意度进行测评。（优秀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分，良好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分）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/>
        </w:tc>
      </w:tr>
      <w:tr w:rsidR="0068059F" w:rsidTr="00C539EF">
        <w:trPr>
          <w:trHeight w:val="75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/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771ACC">
            <w:pPr>
              <w:spacing w:line="4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3、建立和</w:t>
            </w:r>
            <w:proofErr w:type="gramStart"/>
            <w:r>
              <w:rPr>
                <w:rFonts w:ascii="仿宋_GB2312" w:eastAsia="仿宋_GB2312" w:hAnsi="仿宋_GB2312"/>
                <w:sz w:val="24"/>
                <w:szCs w:val="24"/>
              </w:rPr>
              <w:t>健全</w:t>
            </w:r>
            <w:r w:rsidRPr="009639AA">
              <w:rPr>
                <w:rFonts w:ascii="仿宋_GB2312" w:eastAsia="仿宋_GB2312" w:hAnsi="仿宋_GB2312" w:hint="eastAsia"/>
                <w:sz w:val="24"/>
                <w:szCs w:val="24"/>
              </w:rPr>
              <w:t>系部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二级</w:t>
            </w:r>
            <w:proofErr w:type="gramEnd"/>
            <w:r>
              <w:rPr>
                <w:rFonts w:ascii="仿宋_GB2312" w:eastAsia="仿宋_GB2312" w:hAnsi="仿宋_GB2312"/>
                <w:sz w:val="24"/>
                <w:szCs w:val="24"/>
              </w:rPr>
              <w:t>心理辅导站工作的保密制度，实行专人管理，专人负责。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/>
        </w:tc>
      </w:tr>
      <w:tr w:rsidR="0068059F" w:rsidTr="00C539EF">
        <w:trPr>
          <w:trHeight w:val="75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/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771ACC">
            <w:pPr>
              <w:spacing w:line="4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4、</w:t>
            </w:r>
            <w:proofErr w:type="gramStart"/>
            <w:r w:rsidRPr="009639AA">
              <w:rPr>
                <w:rFonts w:ascii="仿宋_GB2312" w:eastAsia="仿宋_GB2312" w:hAnsi="仿宋_GB2312" w:hint="eastAsia"/>
                <w:sz w:val="24"/>
                <w:szCs w:val="24"/>
              </w:rPr>
              <w:t>系部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二级</w:t>
            </w:r>
            <w:proofErr w:type="gramEnd"/>
            <w:r>
              <w:rPr>
                <w:rFonts w:ascii="仿宋_GB2312" w:eastAsia="仿宋_GB2312" w:hAnsi="仿宋_GB2312"/>
                <w:sz w:val="24"/>
                <w:szCs w:val="24"/>
              </w:rPr>
              <w:t>心理辅导站开展自主创新的心理健康教育活动，在全校具有重要示范作用。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/>
        </w:tc>
      </w:tr>
      <w:tr w:rsidR="0068059F" w:rsidTr="00C539EF">
        <w:trPr>
          <w:trHeight w:val="75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/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771ACC">
            <w:pPr>
              <w:spacing w:line="4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5、</w:t>
            </w:r>
            <w:proofErr w:type="gramStart"/>
            <w:r w:rsidRPr="00551515">
              <w:rPr>
                <w:rFonts w:ascii="仿宋_GB2312" w:eastAsia="仿宋_GB2312" w:hAnsi="仿宋_GB2312" w:hint="eastAsia"/>
                <w:sz w:val="24"/>
                <w:szCs w:val="24"/>
              </w:rPr>
              <w:t>系部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对</w:t>
            </w:r>
            <w:proofErr w:type="gramEnd"/>
            <w:r>
              <w:rPr>
                <w:rFonts w:ascii="仿宋_GB2312" w:eastAsia="仿宋_GB2312" w:hAnsi="仿宋_GB2312"/>
                <w:sz w:val="24"/>
                <w:szCs w:val="24"/>
              </w:rPr>
              <w:t>学生发生的心理问题不干预或干预不利导致恶性事件的发生率为零。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/>
        </w:tc>
      </w:tr>
      <w:tr w:rsidR="0068059F" w:rsidTr="00C539EF">
        <w:trPr>
          <w:trHeight w:val="68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等级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>
            <w:pPr>
              <w:spacing w:line="44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9F" w:rsidRDefault="0068059F" w:rsidP="00C539EF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总分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9F" w:rsidRDefault="0068059F" w:rsidP="00C539EF">
            <w:pPr>
              <w:spacing w:line="50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68059F" w:rsidRDefault="0068059F" w:rsidP="0068059F">
      <w:pPr>
        <w:spacing w:line="500" w:lineRule="exact"/>
        <w:rPr>
          <w:rFonts w:ascii="Times New Roman" w:eastAsia="Times New Roman" w:hAnsi="Times New Roman"/>
          <w:sz w:val="21"/>
          <w:szCs w:val="21"/>
        </w:rPr>
      </w:pPr>
      <w:r>
        <w:rPr>
          <w:rFonts w:ascii="仿宋_GB2312" w:eastAsia="仿宋_GB2312" w:hAnsi="仿宋_GB2312"/>
          <w:sz w:val="21"/>
          <w:szCs w:val="21"/>
        </w:rPr>
        <w:t>备注：考评等级分为优秀（&gt;=90）、良好（&gt;=80）、合格（&gt;=70）、不合格（&lt;70）</w:t>
      </w:r>
    </w:p>
    <w:p w:rsidR="0068059F" w:rsidRDefault="0068059F" w:rsidP="0068059F">
      <w:pPr>
        <w:jc w:val="left"/>
        <w:rPr>
          <w:rFonts w:hAnsi="宋体"/>
          <w:sz w:val="32"/>
          <w:szCs w:val="32"/>
        </w:rPr>
      </w:pPr>
    </w:p>
    <w:p w:rsidR="0068059F" w:rsidRPr="00935C63" w:rsidRDefault="0068059F" w:rsidP="00935C63">
      <w:pPr>
        <w:rPr>
          <w:rFonts w:ascii="方正舒体" w:eastAsia="方正舒体"/>
          <w:sz w:val="28"/>
          <w:szCs w:val="28"/>
        </w:rPr>
      </w:pPr>
    </w:p>
    <w:p w:rsidR="00087439" w:rsidRPr="0068059F" w:rsidRDefault="00087439" w:rsidP="0068059F"/>
    <w:sectPr w:rsidR="00087439" w:rsidRPr="00680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01" w:rsidRDefault="00081701" w:rsidP="00935C63">
      <w:r>
        <w:separator/>
      </w:r>
    </w:p>
  </w:endnote>
  <w:endnote w:type="continuationSeparator" w:id="0">
    <w:p w:rsidR="00081701" w:rsidRDefault="00081701" w:rsidP="0093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01" w:rsidRDefault="00081701" w:rsidP="00935C63">
      <w:r>
        <w:separator/>
      </w:r>
    </w:p>
  </w:footnote>
  <w:footnote w:type="continuationSeparator" w:id="0">
    <w:p w:rsidR="00081701" w:rsidRDefault="00081701" w:rsidP="00935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F37C5"/>
    <w:multiLevelType w:val="hybridMultilevel"/>
    <w:tmpl w:val="999C968A"/>
    <w:lvl w:ilvl="0" w:tplc="412249F4">
      <w:start w:val="1"/>
      <w:numFmt w:val="upperLetter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18"/>
    <w:rsid w:val="00081701"/>
    <w:rsid w:val="00087439"/>
    <w:rsid w:val="00486617"/>
    <w:rsid w:val="0068059F"/>
    <w:rsid w:val="00771ACC"/>
    <w:rsid w:val="00935C63"/>
    <w:rsid w:val="00E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3918"/>
    <w:pPr>
      <w:jc w:val="both"/>
    </w:pPr>
    <w:rPr>
      <w:rFonts w:ascii="Calibri" w:eastAsia="宋体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1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35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5C63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5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5C63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3918"/>
    <w:pPr>
      <w:jc w:val="both"/>
    </w:pPr>
    <w:rPr>
      <w:rFonts w:ascii="Calibri" w:eastAsia="宋体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1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35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5C63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5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5C63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2019-12-17T05:09:00Z</dcterms:created>
  <dcterms:modified xsi:type="dcterms:W3CDTF">2019-12-17T07:36:00Z</dcterms:modified>
</cp:coreProperties>
</file>